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附件</w:t>
      </w:r>
    </w:p>
    <w:p>
      <w:pPr>
        <w:pStyle w:val="4"/>
        <w:rPr>
          <w:rFonts w:hint="default" w:ascii="Times New Roman" w:hAnsi="Times New Roman" w:eastAsia="方正小标宋_GBK" w:cs="Times New Roman"/>
          <w:b/>
          <w:bCs/>
          <w:color w:val="auto"/>
          <w:sz w:val="44"/>
          <w:szCs w:val="44"/>
          <w:lang w:val="en-US" w:eastAsia="zh-CN"/>
        </w:rPr>
      </w:pPr>
      <w:r>
        <w:rPr>
          <w:rFonts w:hint="eastAsia" w:ascii="Times New Roman" w:hAnsi="Times New Roman" w:eastAsia="方正小标宋_GBK" w:cs="Times New Roman"/>
          <w:b/>
          <w:bCs/>
          <w:color w:val="auto"/>
          <w:sz w:val="44"/>
          <w:szCs w:val="44"/>
          <w:lang w:val="en-US" w:eastAsia="zh-CN"/>
        </w:rPr>
        <w:t>省司法厅</w:t>
      </w:r>
      <w:r>
        <w:rPr>
          <w:rFonts w:hint="default" w:ascii="Times New Roman" w:hAnsi="Times New Roman" w:eastAsia="方正小标宋_GBK" w:cs="Times New Roman"/>
          <w:b/>
          <w:bCs/>
          <w:color w:val="auto"/>
          <w:sz w:val="44"/>
          <w:szCs w:val="44"/>
          <w:lang w:val="en-US" w:eastAsia="zh-CN"/>
        </w:rPr>
        <w:t>深化法治化营商环境建设2022年重点任务清单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615"/>
        <w:gridCol w:w="5670"/>
        <w:gridCol w:w="1455"/>
        <w:gridCol w:w="184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政策措施</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序号</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重点任务</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牵头单位</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280" w:firstLineChars="100"/>
              <w:jc w:val="both"/>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责任单位</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b w:val="0"/>
                <w:bCs w:val="0"/>
                <w:color w:val="auto"/>
                <w:kern w:val="2"/>
                <w:sz w:val="28"/>
                <w:szCs w:val="28"/>
                <w:lang w:val="en-US" w:eastAsia="zh-CN" w:bidi="ar-SA"/>
              </w:rPr>
              <w:t>加强重点领域立法</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持续释放制度红利，</w:t>
            </w:r>
            <w:r>
              <w:rPr>
                <w:rFonts w:hint="default" w:ascii="Times New Roman" w:hAnsi="Times New Roman" w:eastAsia="仿宋_GB2312" w:cs="Times New Roman"/>
                <w:color w:val="auto"/>
                <w:sz w:val="28"/>
                <w:szCs w:val="28"/>
                <w:vertAlign w:val="baseline"/>
                <w:lang w:val="en-US" w:eastAsia="zh-CN"/>
              </w:rPr>
              <w:t>完成</w:t>
            </w:r>
            <w:r>
              <w:rPr>
                <w:rFonts w:hint="eastAsia" w:ascii="Times New Roman" w:hAnsi="Times New Roman" w:eastAsia="仿宋_GB2312" w:cs="Times New Roman"/>
                <w:color w:val="auto"/>
                <w:sz w:val="28"/>
                <w:szCs w:val="28"/>
                <w:lang w:eastAsia="zh-CN"/>
              </w:rPr>
              <w:t>《湖北省数字经济促进办法》</w:t>
            </w:r>
            <w:r>
              <w:rPr>
                <w:rFonts w:hint="default" w:ascii="Times New Roman" w:hAnsi="Times New Roman" w:eastAsia="仿宋_GB2312" w:cs="Times New Roman"/>
                <w:color w:val="auto"/>
                <w:sz w:val="28"/>
                <w:szCs w:val="28"/>
                <w:lang w:val="en-US" w:eastAsia="zh-CN"/>
              </w:rPr>
              <w:t>《湖北省行政权力清单管理办法》</w:t>
            </w:r>
            <w:r>
              <w:rPr>
                <w:rFonts w:hint="eastAsia" w:ascii="Times New Roman" w:hAnsi="Times New Roman" w:eastAsia="仿宋_GB2312" w:cs="Times New Roman"/>
                <w:color w:val="auto"/>
                <w:sz w:val="28"/>
                <w:szCs w:val="28"/>
                <w:lang w:val="en-US" w:eastAsia="zh-CN"/>
              </w:rPr>
              <w:t>等涉营商环境立法项目的审修工作</w:t>
            </w:r>
            <w:r>
              <w:rPr>
                <w:rFonts w:hint="default" w:ascii="Times New Roman" w:hAnsi="Times New Roman" w:eastAsia="仿宋_GB2312" w:cs="Times New Roman"/>
                <w:color w:val="auto"/>
                <w:sz w:val="28"/>
                <w:szCs w:val="28"/>
                <w:lang w:val="en-US" w:eastAsia="zh-CN"/>
              </w:rPr>
              <w:t>。</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厅立法一处</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厅立法二处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开展政府规章中不合理罚款事项专项清理</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全面梳理现行省级和市州人民政府规章设定的罚款事项，对不合理罚款事项提出取消或调整意见</w:t>
            </w:r>
            <w:r>
              <w:rPr>
                <w:rFonts w:hint="eastAsia" w:ascii="Times New Roman" w:hAnsi="Times New Roman" w:eastAsia="仿宋_GB2312" w:cs="Times New Roman"/>
                <w:color w:val="auto"/>
                <w:sz w:val="28"/>
                <w:szCs w:val="28"/>
                <w:vertAlign w:val="baseline"/>
                <w:lang w:val="en-US" w:eastAsia="zh-CN"/>
              </w:rPr>
              <w:t>。</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厅立法一处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厅立法二处；各市、州、直管市、神农架林区司法局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加强行政规范性文件合法性审核</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完善规范性文件合法性审查机制，依法对省政府及办公厅拟制发的行政规范性文件进行合法性审核，及时纠正有损市场主体合法权益的文件</w:t>
            </w:r>
            <w:r>
              <w:rPr>
                <w:rFonts w:hint="eastAsia" w:ascii="Times New Roman" w:hAnsi="Times New Roman" w:eastAsia="仿宋_GB2312" w:cs="Times New Roman"/>
                <w:color w:val="auto"/>
                <w:sz w:val="28"/>
                <w:szCs w:val="28"/>
                <w:vertAlign w:val="baseline"/>
                <w:lang w:val="en-US" w:eastAsia="zh-CN"/>
              </w:rPr>
              <w:t>。</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sz w:val="28"/>
                <w:szCs w:val="28"/>
                <w:lang w:val="en-US" w:eastAsia="zh-CN"/>
              </w:rPr>
            </w:pPr>
            <w:r>
              <w:rPr>
                <w:rFonts w:hint="default" w:ascii="Times New Roman" w:hAnsi="Times New Roman" w:eastAsia="仿宋_GB2312" w:cs="Times New Roman"/>
                <w:color w:val="auto"/>
                <w:sz w:val="28"/>
                <w:szCs w:val="28"/>
                <w:vertAlign w:val="baseline"/>
                <w:lang w:val="en-US" w:eastAsia="zh-CN"/>
              </w:rPr>
              <w:t>厅立法一处</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厅立法二处</w:t>
            </w:r>
            <w:r>
              <w:rPr>
                <w:rFonts w:hint="eastAsia" w:ascii="Times New Roman" w:hAnsi="Times New Roman" w:cs="Times New Roman"/>
                <w:color w:val="auto"/>
                <w:sz w:val="28"/>
                <w:szCs w:val="28"/>
                <w:vertAlign w:val="baseline"/>
                <w:lang w:val="en-US" w:eastAsia="zh-CN"/>
              </w:rPr>
              <w:t>、</w:t>
            </w:r>
            <w:r>
              <w:rPr>
                <w:rFonts w:hint="eastAsia" w:ascii="Times New Roman" w:hAnsi="Times New Roman" w:eastAsia="仿宋_GB2312" w:cs="Times New Roman"/>
                <w:color w:val="auto"/>
                <w:sz w:val="28"/>
                <w:szCs w:val="28"/>
                <w:vertAlign w:val="baseline"/>
                <w:lang w:val="en-US" w:eastAsia="zh-CN"/>
              </w:rPr>
              <w:t>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tabs>
                <w:tab w:val="left" w:pos="282"/>
              </w:tabs>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健全完善市场主体参与立法工作机制</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4</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拓宽市场主体参与涉营商环境的政府规章、行政规范性文件的起草、调研和审核工作渠道，充分听取市场主体意见及建议，进一步完善工作机制。</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厅立法一处</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厅立法二处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line="3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严肃查办行政执法违规违法案件</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5</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畅通投诉举报渠道，设立行政执法监督投诉举报电话和邮箱，加强与</w:t>
            </w:r>
            <w:r>
              <w:rPr>
                <w:rFonts w:hint="eastAsia" w:ascii="Times New Roman" w:hAnsi="Times New Roman" w:cs="Times New Roman"/>
                <w:color w:val="auto"/>
                <w:sz w:val="28"/>
                <w:szCs w:val="28"/>
                <w:vertAlign w:val="baseline"/>
                <w:lang w:val="en-US" w:eastAsia="zh-CN"/>
              </w:rPr>
              <w:t>纪委监委、</w:t>
            </w:r>
            <w:r>
              <w:rPr>
                <w:rFonts w:hint="default" w:ascii="Times New Roman" w:hAnsi="Times New Roman" w:eastAsia="仿宋_GB2312" w:cs="Times New Roman"/>
                <w:color w:val="auto"/>
                <w:sz w:val="28"/>
                <w:szCs w:val="28"/>
                <w:vertAlign w:val="baseline"/>
                <w:lang w:val="en-US" w:eastAsia="zh-CN"/>
              </w:rPr>
              <w:t>法院、检察机关</w:t>
            </w:r>
            <w:r>
              <w:rPr>
                <w:rFonts w:hint="eastAsia" w:ascii="Times New Roman" w:hAnsi="Times New Roman" w:cs="Times New Roman"/>
                <w:color w:val="auto"/>
                <w:sz w:val="28"/>
                <w:szCs w:val="28"/>
                <w:vertAlign w:val="baseline"/>
                <w:lang w:val="en-US" w:eastAsia="zh-CN"/>
              </w:rPr>
              <w:t>等</w:t>
            </w:r>
            <w:r>
              <w:rPr>
                <w:rFonts w:hint="default" w:ascii="Times New Roman" w:hAnsi="Times New Roman" w:eastAsia="仿宋_GB2312" w:cs="Times New Roman"/>
                <w:color w:val="auto"/>
                <w:sz w:val="28"/>
                <w:szCs w:val="28"/>
                <w:vertAlign w:val="baseline"/>
                <w:lang w:val="en-US" w:eastAsia="zh-CN"/>
              </w:rPr>
              <w:t>协作</w:t>
            </w:r>
            <w:r>
              <w:rPr>
                <w:rFonts w:hint="eastAsia" w:ascii="Times New Roman" w:hAnsi="Times New Roman" w:cs="Times New Roman"/>
                <w:color w:val="auto"/>
                <w:sz w:val="28"/>
                <w:szCs w:val="28"/>
                <w:vertAlign w:val="baseline"/>
                <w:lang w:val="en-US" w:eastAsia="zh-CN"/>
              </w:rPr>
              <w:t>配合</w:t>
            </w:r>
            <w:r>
              <w:rPr>
                <w:rFonts w:hint="default" w:ascii="Times New Roman" w:hAnsi="Times New Roman" w:eastAsia="仿宋_GB2312" w:cs="Times New Roman"/>
                <w:color w:val="auto"/>
                <w:sz w:val="28"/>
                <w:szCs w:val="28"/>
                <w:vertAlign w:val="baseline"/>
                <w:lang w:val="en-US" w:eastAsia="zh-CN"/>
              </w:rPr>
              <w:t>，严肃查处一批、追责问责一批、移送一批</w:t>
            </w:r>
            <w:r>
              <w:rPr>
                <w:rFonts w:hint="eastAsia" w:ascii="Times New Roman" w:hAnsi="Times New Roman" w:eastAsia="仿宋_GB2312" w:cs="Times New Roman"/>
                <w:color w:val="auto"/>
                <w:sz w:val="28"/>
                <w:szCs w:val="28"/>
                <w:vertAlign w:val="baseline"/>
                <w:lang w:val="en-US" w:eastAsia="zh-CN"/>
              </w:rPr>
              <w:t>涉企</w:t>
            </w:r>
            <w:r>
              <w:rPr>
                <w:rFonts w:hint="default" w:ascii="Times New Roman" w:hAnsi="Times New Roman" w:eastAsia="仿宋_GB2312" w:cs="Times New Roman"/>
                <w:color w:val="auto"/>
                <w:sz w:val="28"/>
                <w:szCs w:val="28"/>
                <w:vertAlign w:val="baseline"/>
                <w:lang w:val="en-US" w:eastAsia="zh-CN"/>
              </w:rPr>
              <w:t>行政执法违法违规案件。</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大力推进行政执法“三项制度”落实落地</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6</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健全执法制度、完善执法程序、创新执法方式、加强执法监管，</w:t>
            </w:r>
            <w:r>
              <w:rPr>
                <w:rFonts w:hint="eastAsia" w:ascii="Times New Roman" w:hAnsi="Times New Roman" w:eastAsia="仿宋_GB2312" w:cs="Times New Roman"/>
                <w:color w:val="auto"/>
                <w:sz w:val="28"/>
                <w:szCs w:val="28"/>
                <w:vertAlign w:val="baseline"/>
                <w:lang w:val="en-US" w:eastAsia="zh-CN"/>
              </w:rPr>
              <w:t>开展</w:t>
            </w:r>
            <w:r>
              <w:rPr>
                <w:rFonts w:hint="default" w:ascii="Times New Roman" w:hAnsi="Times New Roman" w:eastAsia="仿宋_GB2312" w:cs="Times New Roman"/>
                <w:color w:val="auto"/>
                <w:sz w:val="28"/>
                <w:szCs w:val="28"/>
                <w:vertAlign w:val="baseline"/>
                <w:lang w:val="en-US" w:eastAsia="zh-CN"/>
              </w:rPr>
              <w:t>对全省行政执法部门落实行政执法</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三项制度</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情况的抽查检查。</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推进审慎、规范、公正监管</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制定下发《关于进一步贯彻落实&lt;中华人民共和国行政处罚法&gt;的若干措施》，</w:t>
            </w:r>
            <w:r>
              <w:rPr>
                <w:rFonts w:hint="eastAsia" w:ascii="Times New Roman" w:hAnsi="Times New Roman" w:eastAsia="仿宋_GB2312" w:cs="Times New Roman"/>
                <w:color w:val="auto"/>
                <w:sz w:val="28"/>
                <w:szCs w:val="28"/>
                <w:vertAlign w:val="baseline"/>
                <w:lang w:val="en-US" w:eastAsia="zh-CN"/>
              </w:rPr>
              <w:t>指导行政执法部门</w:t>
            </w:r>
            <w:r>
              <w:rPr>
                <w:rFonts w:hint="default" w:ascii="Times New Roman" w:hAnsi="Times New Roman" w:eastAsia="仿宋_GB2312" w:cs="Times New Roman"/>
                <w:color w:val="auto"/>
                <w:sz w:val="28"/>
                <w:szCs w:val="28"/>
                <w:vertAlign w:val="baseline"/>
                <w:lang w:val="en-US" w:eastAsia="zh-CN"/>
              </w:rPr>
              <w:t>完善行政处罚裁量基准，编制科学合理的免予处罚（含不予行政处罚、可以不予处罚情形）、从轻处罚、减轻处罚事项清单，并向社会公布施行。对于免予行政处罚的轻微违法行为和从轻减轻行政处罚的一般违法行为，实施包容审慎执法。</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探索将涉企案件经济影响评估制度推广至行政执法领域</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探索建立行政执法领域开展涉企案件经济影响评估制度，对涉企行政执法案件的立案、调查、处罚等环节全面分析，科学评估，依法规范办理行政执法案件，降低企业负面影响，保护企业良性发展。</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开展涉企行政执法案件评查活动</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9</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在</w:t>
            </w:r>
            <w:r>
              <w:rPr>
                <w:rFonts w:hint="default" w:ascii="Times New Roman" w:hAnsi="Times New Roman" w:eastAsia="仿宋_GB2312" w:cs="Times New Roman"/>
                <w:color w:val="auto"/>
                <w:sz w:val="28"/>
                <w:szCs w:val="28"/>
                <w:vertAlign w:val="baseline"/>
                <w:lang w:val="en-US" w:eastAsia="zh-CN"/>
              </w:rPr>
              <w:t>市场监管</w:t>
            </w:r>
            <w:r>
              <w:rPr>
                <w:rFonts w:hint="eastAsia" w:ascii="Times New Roman" w:hAnsi="Times New Roman" w:eastAsia="仿宋_GB2312" w:cs="Times New Roman"/>
                <w:color w:val="auto"/>
                <w:sz w:val="28"/>
                <w:szCs w:val="28"/>
                <w:vertAlign w:val="baseline"/>
                <w:lang w:val="en-US" w:eastAsia="zh-CN"/>
              </w:rPr>
              <w:t>领域</w:t>
            </w:r>
            <w:r>
              <w:rPr>
                <w:rFonts w:hint="default" w:ascii="Times New Roman" w:hAnsi="Times New Roman" w:eastAsia="仿宋_GB2312" w:cs="Times New Roman"/>
                <w:color w:val="auto"/>
                <w:sz w:val="28"/>
                <w:szCs w:val="28"/>
                <w:vertAlign w:val="baseline"/>
                <w:lang w:val="en-US" w:eastAsia="zh-CN"/>
              </w:rPr>
              <w:t>开展涉企执法案件评查活动，从执法主体的适格性、事实认定的客观性、证据收集的全面性、程序流程的正当性、法律适用的准确性、裁量幅度的合理性、执法效果的公正性和案卷管理的规范性等方面规范涉企执法行为。</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厅行政执法协调监督处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发挥行政复议职能作用</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10</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加大对涉企行政处罚自由裁量权案件的审查、和解、调解力度，将选择性执法、合法不合理、合法不守序等行为纳入审查范围。建立涉企行政复议案件绿色通道，实行</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快立、快审、快结</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的繁简分流工作机制。</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厅行政复议处、厅行政应诉处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加强督察考核力度</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11</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将法治化营商环境纳入年度法治绩效考核和法治督察重点内容</w:t>
            </w:r>
            <w:r>
              <w:rPr>
                <w:rFonts w:hint="eastAsia" w:ascii="Times New Roman" w:hAnsi="Times New Roman" w:eastAsia="仿宋_GB2312"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围绕市场主体、社会各界和新闻媒体反映法治化营商环境领域的突出问题，开展常态化法治化营商环境督察。</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省委全面依法治省办秘书处、厅法治督察处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评选一批示范创建单位</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开展省级第二批法治政府建设示范创建活动，将法治化营商环境要求有机融入法治政府示范创建活动中，以创建促提升。</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厅法治调研处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评选一批示范创建单位</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13</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谋划部署第二批先行区创建活动，评选一批可复制推广、可借鉴参考的经验样板。</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厅营商办（法治督察处）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w:t>
            </w:r>
            <w:r>
              <w:rPr>
                <w:rFonts w:hint="eastAsia" w:ascii="Times New Roman" w:hAnsi="Times New Roman" w:cs="Times New Roman"/>
                <w:color w:val="auto"/>
                <w:sz w:val="28"/>
                <w:szCs w:val="28"/>
                <w:vertAlign w:val="baseline"/>
                <w:lang w:val="en-US" w:eastAsia="zh-CN"/>
              </w:rPr>
              <w:t>进</w:t>
            </w:r>
            <w:r>
              <w:rPr>
                <w:rFonts w:hint="default" w:ascii="Times New Roman" w:hAnsi="Times New Roman" w:eastAsia="仿宋_GB2312" w:cs="Times New Roman"/>
                <w:color w:val="auto"/>
                <w:sz w:val="28"/>
                <w:szCs w:val="28"/>
                <w:vertAlign w:val="baseline"/>
                <w:lang w:val="en-US" w:eastAsia="zh-CN"/>
              </w:rPr>
              <w:t>公共法律服务走深走实</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14</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常态化开展</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公共法律服务进园区进企业优化营商环境大气候</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专项法律服务</w:t>
            </w:r>
            <w:r>
              <w:rPr>
                <w:rFonts w:hint="eastAsia" w:ascii="Times New Roman" w:hAnsi="Times New Roman" w:cs="Times New Roman"/>
                <w:color w:val="auto"/>
                <w:sz w:val="28"/>
                <w:szCs w:val="28"/>
                <w:vertAlign w:val="baseline"/>
                <w:lang w:val="en-US" w:eastAsia="zh-CN"/>
              </w:rPr>
              <w:t>活动</w:t>
            </w:r>
            <w:r>
              <w:rPr>
                <w:rFonts w:hint="default" w:ascii="Times New Roman" w:hAnsi="Times New Roman" w:eastAsia="仿宋_GB2312" w:cs="Times New Roman"/>
                <w:color w:val="auto"/>
                <w:sz w:val="28"/>
                <w:szCs w:val="28"/>
                <w:vertAlign w:val="baseline"/>
                <w:lang w:val="en-US" w:eastAsia="zh-CN"/>
              </w:rPr>
              <w:t>，</w:t>
            </w:r>
            <w:r>
              <w:rPr>
                <w:rFonts w:hint="eastAsia" w:ascii="Times New Roman" w:hAnsi="Times New Roman" w:cs="Times New Roman"/>
                <w:color w:val="auto"/>
                <w:sz w:val="28"/>
                <w:szCs w:val="28"/>
                <w:vertAlign w:val="baseline"/>
                <w:lang w:val="en-US" w:eastAsia="zh-CN"/>
              </w:rPr>
              <w:t>加强</w:t>
            </w:r>
            <w:r>
              <w:rPr>
                <w:rFonts w:hint="default" w:ascii="Times New Roman" w:hAnsi="Times New Roman" w:eastAsia="仿宋_GB2312" w:cs="Times New Roman"/>
                <w:color w:val="auto"/>
                <w:sz w:val="28"/>
                <w:szCs w:val="28"/>
                <w:vertAlign w:val="baseline"/>
                <w:lang w:val="en-US" w:eastAsia="zh-CN"/>
              </w:rPr>
              <w:t>省级以上开发园区公共法律服务中心</w:t>
            </w:r>
            <w:r>
              <w:rPr>
                <w:rFonts w:hint="eastAsia" w:ascii="Times New Roman" w:hAnsi="Times New Roman" w:cs="Times New Roman"/>
                <w:color w:val="auto"/>
                <w:sz w:val="28"/>
                <w:szCs w:val="28"/>
                <w:vertAlign w:val="baseline"/>
                <w:lang w:val="en-US" w:eastAsia="zh-CN"/>
              </w:rPr>
              <w:t>的建设</w:t>
            </w:r>
            <w:r>
              <w:rPr>
                <w:rFonts w:hint="default" w:ascii="Times New Roman" w:hAnsi="Times New Roman" w:eastAsia="仿宋_GB2312" w:cs="Times New Roman"/>
                <w:color w:val="auto"/>
                <w:sz w:val="28"/>
                <w:szCs w:val="28"/>
                <w:vertAlign w:val="baseline"/>
                <w:lang w:val="en-US" w:eastAsia="zh-CN"/>
              </w:rPr>
              <w:t>。进一步扩大减、缓、免收费的优惠公共法律服务覆盖面，推动公共法律服务惠企惠民政策落实。</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厅公共法律服务</w:t>
            </w:r>
            <w:r>
              <w:rPr>
                <w:rFonts w:hint="eastAsia" w:ascii="Times New Roman" w:hAnsi="Times New Roman" w:cs="Times New Roman"/>
                <w:color w:val="auto"/>
                <w:sz w:val="28"/>
                <w:szCs w:val="28"/>
                <w:vertAlign w:val="baseline"/>
                <w:lang w:val="en-US" w:eastAsia="zh-CN"/>
              </w:rPr>
              <w:t>管理</w:t>
            </w:r>
            <w:r>
              <w:rPr>
                <w:rFonts w:hint="default" w:ascii="Times New Roman" w:hAnsi="Times New Roman" w:eastAsia="仿宋_GB2312" w:cs="Times New Roman"/>
                <w:color w:val="auto"/>
                <w:sz w:val="28"/>
                <w:szCs w:val="28"/>
                <w:vertAlign w:val="baseline"/>
                <w:lang w:val="en-US" w:eastAsia="zh-CN"/>
              </w:rPr>
              <w:t>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推动法律服务资源优化整合</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15</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深化</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万所联万会</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工作机制，健全工作通报制度，推动律师事务所与各级工商联及所属商会普遍建立联系合作机制。深化</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法治体检</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活动，加强对中小微企业法律服务力度，组织指导律师参与涉案企业合规第三方评估监督。</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厅律师工作处、省律师协会</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推动法律服务资源优化整合</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16</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推动法律援助在园区的有效覆盖，畅通农民工案件</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绿色通道</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对农民工、外来务工人员法律援助事项做到应援尽援、应援优援。探索拓展公证服务知识产权保护新业务，引领知识产权公证服务改革创新。开通司法鉴定涉企优先办理绿色通道，完善环境损害类司法鉴定机构合理布局。</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厅公共法律服务</w:t>
            </w:r>
            <w:r>
              <w:rPr>
                <w:rFonts w:hint="eastAsia" w:ascii="Times New Roman" w:hAnsi="Times New Roman" w:cs="Times New Roman"/>
                <w:color w:val="auto"/>
                <w:sz w:val="28"/>
                <w:szCs w:val="28"/>
                <w:vertAlign w:val="baseline"/>
                <w:lang w:val="en-US" w:eastAsia="zh-CN"/>
              </w:rPr>
              <w:t>管理</w:t>
            </w:r>
            <w:r>
              <w:rPr>
                <w:rFonts w:hint="default" w:ascii="Times New Roman" w:hAnsi="Times New Roman" w:eastAsia="仿宋_GB2312" w:cs="Times New Roman"/>
                <w:color w:val="auto"/>
                <w:sz w:val="28"/>
                <w:szCs w:val="28"/>
                <w:vertAlign w:val="baseline"/>
                <w:lang w:val="en-US" w:eastAsia="zh-CN"/>
              </w:rPr>
              <w:t>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省楚信公证处，各市、州、直管市、神农架林区司法局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exac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完善</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一站式</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纠纷调解机制</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17</w:t>
            </w:r>
          </w:p>
        </w:tc>
        <w:tc>
          <w:tcPr>
            <w:tcW w:w="5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eastAsia="仿宋_GB2312" w:cs="Times New Roman"/>
                <w:color w:val="auto"/>
                <w:kern w:val="2"/>
                <w:sz w:val="28"/>
                <w:szCs w:val="28"/>
                <w:vertAlign w:val="baseline"/>
                <w:lang w:val="en-US" w:eastAsia="zh-CN" w:bidi="ar-SA"/>
              </w:rPr>
              <w:t>开展矛盾纠纷排查化解专项行动，把中小微企业的矛盾纠纷作为重点进行排查，及时化解各类矛盾纠纷。加大自贸区、开发区、工业园区企事业单位人民调解委员会、知识产权纠纷人民调解委员会、商事纠纷人民调解委员会等调解组织建设，常态化组织开展涉企风险排查。</w:t>
            </w:r>
            <w:r>
              <w:rPr>
                <w:rFonts w:hint="eastAsia" w:ascii="Times New Roman" w:hAnsi="Times New Roman" w:cs="Times New Roman"/>
                <w:color w:val="auto"/>
                <w:kern w:val="2"/>
                <w:sz w:val="28"/>
                <w:szCs w:val="28"/>
                <w:vertAlign w:val="baseline"/>
                <w:lang w:val="en-US" w:eastAsia="zh-CN" w:bidi="ar-SA"/>
              </w:rPr>
              <w:t>加强</w:t>
            </w:r>
            <w:r>
              <w:rPr>
                <w:rFonts w:hint="default" w:ascii="Times New Roman" w:hAnsi="Times New Roman" w:eastAsia="仿宋_GB2312" w:cs="Times New Roman"/>
                <w:color w:val="auto"/>
                <w:kern w:val="2"/>
                <w:sz w:val="28"/>
                <w:szCs w:val="28"/>
                <w:vertAlign w:val="baseline"/>
                <w:lang w:val="en-US" w:eastAsia="zh-CN" w:bidi="ar-SA"/>
              </w:rPr>
              <w:t>人民调解、行政调解、司法调解、仲裁、行政裁决、行政复议等有机衔接，推进</w:t>
            </w:r>
            <w:r>
              <w:rPr>
                <w:rFonts w:hint="eastAsia" w:ascii="Times New Roman" w:hAnsi="Times New Roman" w:cs="Times New Roman"/>
                <w:color w:val="auto"/>
                <w:kern w:val="2"/>
                <w:sz w:val="28"/>
                <w:szCs w:val="28"/>
                <w:vertAlign w:val="baseline"/>
                <w:lang w:val="en-US" w:eastAsia="zh-CN" w:bidi="ar-SA"/>
              </w:rPr>
              <w:t>“</w:t>
            </w:r>
            <w:r>
              <w:rPr>
                <w:rFonts w:hint="default" w:ascii="Times New Roman" w:hAnsi="Times New Roman" w:eastAsia="仿宋_GB2312" w:cs="Times New Roman"/>
                <w:color w:val="auto"/>
                <w:kern w:val="2"/>
                <w:sz w:val="28"/>
                <w:szCs w:val="28"/>
                <w:vertAlign w:val="baseline"/>
                <w:lang w:val="en-US" w:eastAsia="zh-CN" w:bidi="ar-SA"/>
              </w:rPr>
              <w:t>一站式</w:t>
            </w:r>
            <w:r>
              <w:rPr>
                <w:rFonts w:hint="eastAsia" w:ascii="Times New Roman" w:hAnsi="Times New Roman" w:cs="Times New Roman"/>
                <w:color w:val="auto"/>
                <w:kern w:val="2"/>
                <w:sz w:val="28"/>
                <w:szCs w:val="28"/>
                <w:vertAlign w:val="baseline"/>
                <w:lang w:val="en-US" w:eastAsia="zh-CN" w:bidi="ar-SA"/>
              </w:rPr>
              <w:t>”</w:t>
            </w:r>
            <w:r>
              <w:rPr>
                <w:rFonts w:hint="default" w:ascii="Times New Roman" w:hAnsi="Times New Roman" w:eastAsia="仿宋_GB2312" w:cs="Times New Roman"/>
                <w:color w:val="auto"/>
                <w:kern w:val="2"/>
                <w:sz w:val="28"/>
                <w:szCs w:val="28"/>
                <w:vertAlign w:val="baseline"/>
                <w:lang w:val="en-US" w:eastAsia="zh-CN" w:bidi="ar-SA"/>
              </w:rPr>
              <w:t>纠纷解决服务，减轻企业诉累。</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厅人民参与和促进法治处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eastAsia="仿宋_GB2312" w:cs="Times New Roman"/>
                <w:color w:val="auto"/>
                <w:sz w:val="28"/>
                <w:szCs w:val="28"/>
                <w:vertAlign w:val="baseline"/>
                <w:lang w:val="en-US" w:eastAsia="zh-CN"/>
              </w:rPr>
              <w:t>持续推进</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开通</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中小微企业服务专线</w:t>
            </w:r>
            <w:r>
              <w:rPr>
                <w:rFonts w:hint="eastAsia" w:ascii="Times New Roman" w:hAnsi="Times New Roman" w:cs="Times New Roman"/>
                <w:color w:val="auto"/>
                <w:sz w:val="28"/>
                <w:szCs w:val="28"/>
                <w:vertAlign w:val="baseline"/>
                <w:lang w:val="en-US" w:eastAsia="zh-CN"/>
              </w:rPr>
              <w:t>”</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18</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依托湖北12348公共法律服务热线，增设</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中小微企业服务专线</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，根据中小微企业的实际需求，提供针对性的专业法律咨询服务，维护企业合法权益。</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省法援中心</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推动开展高质量发展为主题的法治宣传活动</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19</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组织开展</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美好生活·民法典相伴</w:t>
            </w:r>
            <w:r>
              <w:rPr>
                <w:rFonts w:hint="eastAsia" w:ascii="Times New Roman" w:hAnsi="Times New Roman" w:cs="Times New Roman"/>
                <w:color w:val="auto"/>
                <w:sz w:val="28"/>
                <w:szCs w:val="28"/>
                <w:vertAlign w:val="baseline"/>
                <w:lang w:val="en-US" w:eastAsia="zh-CN"/>
              </w:rPr>
              <w:t>”</w:t>
            </w:r>
            <w:r>
              <w:rPr>
                <w:rFonts w:hint="default" w:ascii="Times New Roman" w:hAnsi="Times New Roman" w:eastAsia="仿宋_GB2312" w:cs="Times New Roman"/>
                <w:color w:val="auto"/>
                <w:sz w:val="28"/>
                <w:szCs w:val="28"/>
                <w:vertAlign w:val="baseline"/>
                <w:lang w:val="en-US" w:eastAsia="zh-CN"/>
              </w:rPr>
              <w:t>主题宣传月活动，围绕建设中三角区域协同发展法治先行区、中部地区崛起重要战略支点法治先行区、区域创新发展法治先行区，组织开展优化营商环境专项法治宣传活动。</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厅普法与依法治理处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提高政治站位</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结合工作实际，研究制定配套措施，明确责任分工和时间安排，确保各项任务落实到位。</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厅营商办（法治督察处）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厅营商办各成员单位，各市、州、直管市、神农架林区司法局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Times New Roman" w:hAnsi="Times New Roman"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2022年</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加大创新力度</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21</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主动对标先进找差距，加大改革创新力度，攻坚突破，刀刃向内，优化服务做加法，办事流程做减法，创造更多管用可行的创新举措，让市场主体有更多获得感，切实解决企业群众办事创业面临的困难问题。</w:t>
            </w:r>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厅营商办（法治督察处）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厅营商办各成员单位，各市、州、直管市、神农架林区司法局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1967"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注重宣传引导</w:t>
            </w:r>
          </w:p>
        </w:tc>
        <w:tc>
          <w:tcPr>
            <w:tcW w:w="61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22</w:t>
            </w:r>
          </w:p>
        </w:tc>
        <w:tc>
          <w:tcPr>
            <w:tcW w:w="56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充分利用报纸、广播、电视、网络、新媒体等载体和新闻发布会等形式，做好政策宣传解读，加大优化法治化营商环境正反典型案例宣传</w:t>
            </w:r>
            <w:r>
              <w:rPr>
                <w:rFonts w:hint="eastAsia" w:ascii="Times New Roman" w:hAnsi="Times New Roman" w:eastAsia="仿宋_GB2312" w:cs="Times New Roman"/>
                <w:color w:val="auto"/>
                <w:sz w:val="28"/>
                <w:szCs w:val="28"/>
                <w:vertAlign w:val="baseline"/>
                <w:lang w:val="en-US" w:eastAsia="zh-CN"/>
              </w:rPr>
              <w:t>力度</w:t>
            </w:r>
            <w:r>
              <w:rPr>
                <w:rFonts w:hint="default" w:ascii="Times New Roman" w:hAnsi="Times New Roman" w:eastAsia="仿宋_GB2312" w:cs="Times New Roman"/>
                <w:color w:val="auto"/>
                <w:sz w:val="28"/>
                <w:szCs w:val="28"/>
                <w:vertAlign w:val="baseline"/>
                <w:lang w:val="en-US" w:eastAsia="zh-CN"/>
              </w:rPr>
              <w:t>。发挥法治化营商环境监督员作用，积极回应社会关切。召开优化法治化营商环境建设推进会，互相交流经验，学习借鉴成功做法，营造比学赶超、奋勇争先浓厚氛围。</w:t>
            </w:r>
            <w:bookmarkStart w:id="0" w:name="_GoBack"/>
            <w:bookmarkEnd w:id="0"/>
          </w:p>
        </w:tc>
        <w:tc>
          <w:tcPr>
            <w:tcW w:w="14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厅营商办（法治督察处）、厅组织培训处</w:t>
            </w:r>
          </w:p>
        </w:tc>
        <w:tc>
          <w:tcPr>
            <w:tcW w:w="18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各市、州、直管市、神农架林区司法局</w:t>
            </w:r>
          </w:p>
        </w:tc>
        <w:tc>
          <w:tcPr>
            <w:tcW w:w="1306"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持续推进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77BDC"/>
    <w:rsid w:val="6017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2"/>
    <w:basedOn w:val="1"/>
    <w:qFormat/>
    <w:uiPriority w:val="0"/>
    <w:pPr>
      <w:ind w:firstLine="880" w:firstLineChars="200"/>
    </w:pPr>
  </w:style>
  <w:style w:type="paragraph" w:styleId="3">
    <w:name w:val="Body Text Indent"/>
    <w:basedOn w:val="1"/>
    <w:next w:val="4"/>
    <w:unhideWhenUsed/>
    <w:qFormat/>
    <w:uiPriority w:val="99"/>
    <w:pPr>
      <w:spacing w:after="120"/>
      <w:ind w:left="420" w:leftChars="200"/>
    </w:pPr>
  </w:style>
  <w:style w:type="paragraph" w:styleId="4">
    <w:name w:val="Body Text First Indent 2"/>
    <w:basedOn w:val="3"/>
    <w:unhideWhenUsed/>
    <w:qFormat/>
    <w:uiPriority w:val="99"/>
    <w:pPr>
      <w:ind w:firstLine="880" w:firstLineChars="200"/>
    </w:pPr>
  </w:style>
  <w:style w:type="paragraph" w:styleId="5">
    <w:name w:val="footer"/>
    <w:basedOn w:val="1"/>
    <w:unhideWhenUsed/>
    <w:qFormat/>
    <w:uiPriority w:val="0"/>
    <w:pPr>
      <w:tabs>
        <w:tab w:val="center" w:pos="4153"/>
        <w:tab w:val="right" w:pos="8306"/>
      </w:tabs>
      <w:snapToGrid w:val="0"/>
      <w:jc w:val="left"/>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2022-04-06T07:54:00Z</dcterms:created>
  <dc:creator>韵～</dc:creator>
  <cp:lastModifiedBy>韵～</cp:lastModifiedBy>
  <dcterms:modified xsi:type="dcterms:W3CDTF">2022-04-06T07:55:35Z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